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after="120" w:line="500" w:lineRule="exact"/>
        <w:jc w:val="center"/>
        <w:rPr>
          <w:rFonts w:hint="default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天津市胸科医院和平院区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智慧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住院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财务项目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战略合作伙伴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比选邀请书</w:t>
      </w:r>
    </w:p>
    <w:p>
      <w:pPr>
        <w:pStyle w:val="3"/>
        <w:numPr>
          <w:ilvl w:val="0"/>
          <w:numId w:val="1"/>
        </w:numPr>
        <w:spacing w:line="460" w:lineRule="exact"/>
        <w:ind w:firstLine="600" w:firstLineChars="200"/>
        <w:rPr>
          <w:rFonts w:hint="eastAsia" w:ascii="楷体" w:hAnsi="楷体" w:eastAsia="楷体" w:cs="楷体"/>
          <w:b w:val="0"/>
          <w:bCs/>
          <w:sz w:val="30"/>
          <w:szCs w:val="30"/>
        </w:rPr>
      </w:pPr>
      <w:bookmarkStart w:id="0" w:name="_Toc453767377"/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合作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项目内容</w:t>
      </w:r>
      <w:bookmarkEnd w:id="0"/>
    </w:p>
    <w:p>
      <w:pP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 xml:space="preserve">    天津市胸科医院和平院区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智慧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住院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财务项目</w:t>
      </w:r>
    </w:p>
    <w:p>
      <w:pPr>
        <w:numPr>
          <w:ilvl w:val="0"/>
          <w:numId w:val="1"/>
        </w:numPr>
        <w:spacing w:line="460" w:lineRule="exact"/>
        <w:ind w:left="0" w:leftChars="0" w:firstLine="600" w:firstLineChars="200"/>
        <w:rPr>
          <w:rFonts w:hint="eastAsia" w:ascii="楷体" w:hAnsi="楷体" w:eastAsia="楷体" w:cs="楷体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</w:rPr>
        <w:t>对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供应商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工作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（技术、服务等）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要求：</w:t>
      </w:r>
    </w:p>
    <w:p>
      <w:pPr>
        <w:spacing w:line="360" w:lineRule="auto"/>
        <w:ind w:firstLine="600" w:firstLineChars="200"/>
        <w:jc w:val="left"/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入选银行提供</w:t>
      </w:r>
      <w:bookmarkStart w:id="1" w:name="_Toc453767378"/>
    </w:p>
    <w:p>
      <w:pPr>
        <w:spacing w:line="360" w:lineRule="auto"/>
        <w:ind w:firstLine="900" w:firstLineChars="300"/>
        <w:jc w:val="left"/>
        <w:rPr>
          <w:rFonts w:hint="default" w:ascii="楷体" w:hAnsi="楷体" w:eastAsia="楷体" w:cs="楷体"/>
          <w:b w:val="0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</w:rPr>
        <w:t>（一）存款服务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：开设对公结算账户或使用现有账户。</w:t>
      </w:r>
    </w:p>
    <w:p>
      <w:pPr>
        <w:ind w:left="599" w:leftChars="214" w:firstLine="300" w:firstLineChars="100"/>
        <w:rPr>
          <w:rFonts w:hint="eastAsia" w:ascii="楷体" w:hAnsi="楷体" w:eastAsia="楷体" w:cs="楷体"/>
          <w:b w:val="0"/>
          <w:bCs/>
          <w:sz w:val="30"/>
          <w:szCs w:val="30"/>
        </w:rPr>
      </w:pPr>
      <w:bookmarkStart w:id="2" w:name="_Toc26192121"/>
      <w:r>
        <w:rPr>
          <w:rFonts w:hint="eastAsia" w:ascii="楷体" w:hAnsi="楷体" w:eastAsia="楷体" w:cs="楷体"/>
          <w:b w:val="0"/>
          <w:bCs/>
          <w:sz w:val="30"/>
          <w:szCs w:val="30"/>
        </w:rPr>
        <w:t>（二）上门收款</w:t>
      </w:r>
      <w:bookmarkEnd w:id="2"/>
      <w:r>
        <w:rPr>
          <w:rFonts w:hint="eastAsia" w:ascii="楷体" w:hAnsi="楷体" w:eastAsia="楷体" w:cs="楷体"/>
          <w:b w:val="0"/>
          <w:bCs/>
          <w:sz w:val="30"/>
          <w:szCs w:val="30"/>
        </w:rPr>
        <w:t>及寄库服务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负责定期的现金押送服务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日常结算备付现金提供每日寄库服务。</w:t>
      </w:r>
    </w:p>
    <w:p>
      <w:pPr>
        <w:spacing w:line="360" w:lineRule="auto"/>
        <w:ind w:left="899" w:leftChars="321" w:firstLine="0" w:firstLineChars="0"/>
        <w:jc w:val="left"/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</w:pPr>
      <w:bookmarkStart w:id="3" w:name="_Toc26192128"/>
      <w:r>
        <w:rPr>
          <w:rFonts w:hint="eastAsia" w:ascii="楷体" w:hAnsi="楷体" w:eastAsia="楷体" w:cs="楷体"/>
          <w:b w:val="0"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）系统稳定支持</w:t>
      </w:r>
      <w:bookmarkEnd w:id="3"/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服务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确保应用软件的正常运行，平台的升级提供服务；协助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我院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建立相关项目和系统软件各种故障的恢复流程及应急措施</w:t>
      </w:r>
    </w:p>
    <w:p>
      <w:pPr>
        <w:ind w:firstLine="900" w:firstLineChars="300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）硬件设备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定期维护服务</w:t>
      </w:r>
    </w:p>
    <w:p>
      <w:pPr>
        <w:ind w:firstLine="900" w:firstLineChars="300"/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）其他相关业务服务</w:t>
      </w:r>
    </w:p>
    <w:p>
      <w:pPr>
        <w:pStyle w:val="3"/>
        <w:numPr>
          <w:ilvl w:val="0"/>
          <w:numId w:val="1"/>
        </w:numPr>
        <w:spacing w:line="460" w:lineRule="exact"/>
        <w:ind w:left="0" w:leftChars="0" w:firstLine="600" w:firstLineChars="200"/>
        <w:rPr>
          <w:rFonts w:hint="eastAsia" w:ascii="楷体" w:hAnsi="楷体" w:eastAsia="楷体" w:cs="楷体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</w:rPr>
        <w:t>时间要求</w:t>
      </w:r>
      <w:bookmarkEnd w:id="1"/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：</w:t>
      </w:r>
      <w:bookmarkStart w:id="4" w:name="_Toc453767379"/>
      <w:bookmarkStart w:id="5" w:name="_GoBack"/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接受报名时间截止至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2023年4月21日16:00。</w:t>
      </w:r>
      <w:bookmarkEnd w:id="5"/>
    </w:p>
    <w:p>
      <w:pPr>
        <w:pStyle w:val="3"/>
        <w:numPr>
          <w:ilvl w:val="0"/>
          <w:numId w:val="0"/>
        </w:numPr>
        <w:spacing w:line="460" w:lineRule="exact"/>
        <w:ind w:firstLine="600" w:firstLineChars="200"/>
        <w:rPr>
          <w:rFonts w:hint="eastAsia" w:ascii="楷体" w:hAnsi="楷体" w:eastAsia="楷体" w:cs="楷体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eastAsia="zh-CN"/>
        </w:rPr>
        <w:t>四、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比选人资格要求</w:t>
      </w:r>
      <w:bookmarkEnd w:id="4"/>
    </w:p>
    <w:p>
      <w:pPr>
        <w:spacing w:line="460" w:lineRule="exact"/>
        <w:ind w:firstLine="600" w:firstLineChars="200"/>
        <w:rPr>
          <w:rFonts w:hint="eastAsia" w:ascii="楷体" w:hAnsi="楷体" w:eastAsia="楷体" w:cs="楷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0"/>
          <w:szCs w:val="30"/>
          <w:lang w:val="en-US" w:eastAsia="zh-CN"/>
        </w:rPr>
        <w:t>4.1资质条件：国有制银行或全国股份制商业银行天津分行</w:t>
      </w:r>
    </w:p>
    <w:p>
      <w:pPr>
        <w:spacing w:line="460" w:lineRule="exact"/>
        <w:ind w:firstLine="600" w:firstLineChars="200"/>
        <w:rPr>
          <w:rFonts w:hint="eastAsia" w:ascii="楷体" w:hAnsi="楷体" w:eastAsia="楷体" w:cs="楷体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4.2 单</w:t>
      </w:r>
      <w:r>
        <w:rPr>
          <w:rFonts w:hint="eastAsia" w:ascii="楷体" w:hAnsi="楷体" w:eastAsia="楷体" w:cs="楷体"/>
          <w:b w:val="0"/>
          <w:bCs/>
          <w:sz w:val="30"/>
          <w:szCs w:val="30"/>
          <w:highlight w:val="none"/>
          <w:lang w:val="en-US" w:eastAsia="zh-CN"/>
        </w:rPr>
        <w:t>位业绩要求：具有大型企事业单位财务合作服务经历者，与大型三甲医院有相关合作经验的银行优先。</w:t>
      </w:r>
    </w:p>
    <w:p>
      <w:pPr>
        <w:spacing w:line="460" w:lineRule="exact"/>
        <w:ind w:firstLine="600" w:firstLineChars="200"/>
        <w:rPr>
          <w:rFonts w:hint="eastAsia" w:ascii="楷体" w:hAnsi="楷体" w:eastAsia="楷体" w:cs="楷体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highlight w:val="none"/>
          <w:lang w:val="en-US" w:eastAsia="zh-CN"/>
        </w:rPr>
        <w:t>4.3人员要求:入选单位指派专人负责院内相关工作，提供相关工作人员证件及资质证明，并与院内相关科室联系做好服务。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65EAA"/>
    <w:multiLevelType w:val="singleLevel"/>
    <w:tmpl w:val="B0F65E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NDE0N2NlMGRmN2QzM2Q0YTJkOTBiNGY5ZjcyMTcifQ=="/>
  </w:docVars>
  <w:rsids>
    <w:rsidRoot w:val="00000000"/>
    <w:rsid w:val="1F5E6E23"/>
    <w:rsid w:val="217C11EF"/>
    <w:rsid w:val="48D37407"/>
    <w:rsid w:val="5014010E"/>
    <w:rsid w:val="50A11BDE"/>
    <w:rsid w:val="5E77251C"/>
    <w:rsid w:val="5F1530C9"/>
    <w:rsid w:val="63BC22A1"/>
    <w:rsid w:val="66F70AAD"/>
    <w:rsid w:val="6D6638A8"/>
    <w:rsid w:val="7B34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385</Characters>
  <Lines>0</Lines>
  <Paragraphs>0</Paragraphs>
  <TotalTime>1</TotalTime>
  <ScaleCrop>false</ScaleCrop>
  <LinksUpToDate>false</LinksUpToDate>
  <CharactersWithSpaces>390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2023-03-20T06:56:00Z</dcterms:created>
  <dc:creator>dell</dc:creator>
  <cp:lastModifiedBy>直到世界终结1414898179</cp:lastModifiedBy>
  <dcterms:modified xsi:type="dcterms:W3CDTF">2023-04-10T00:33:02Z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6C77200F96F74AF49347F9CD944CF220</vt:lpwstr>
  </property>
</Properties>
</file>