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40" w:after="120" w:line="500" w:lineRule="exact"/>
        <w:jc w:val="center"/>
        <w:rPr>
          <w:rFonts w:hint="default" w:ascii="楷体" w:hAnsi="楷体" w:eastAsia="楷体" w:cs="楷体"/>
          <w:b w:val="0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天津市胸科医院和平院区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智慧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门诊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财务项目比选邀请书</w:t>
      </w:r>
    </w:p>
    <w:p>
      <w:pPr>
        <w:pStyle w:val="3"/>
        <w:numPr>
          <w:ilvl w:val="0"/>
          <w:numId w:val="1"/>
        </w:numPr>
        <w:spacing w:line="460" w:lineRule="exact"/>
        <w:ind w:firstLine="600" w:firstLineChars="200"/>
        <w:rPr>
          <w:rFonts w:hint="eastAsia" w:ascii="楷体" w:hAnsi="楷体" w:eastAsia="楷体" w:cs="楷体"/>
          <w:b w:val="0"/>
          <w:bCs/>
          <w:sz w:val="30"/>
          <w:szCs w:val="30"/>
        </w:rPr>
      </w:pPr>
      <w:bookmarkStart w:id="0" w:name="_Toc453767377"/>
      <w:r>
        <w:rPr>
          <w:rFonts w:hint="eastAsia" w:ascii="楷体" w:hAnsi="楷体" w:eastAsia="楷体" w:cs="楷体"/>
          <w:b w:val="0"/>
          <w:bCs/>
          <w:sz w:val="30"/>
          <w:szCs w:val="30"/>
          <w:lang w:val="en-US" w:eastAsia="zh-CN"/>
        </w:rPr>
        <w:t>合作</w:t>
      </w:r>
      <w:r>
        <w:rPr>
          <w:rFonts w:hint="eastAsia" w:ascii="楷体" w:hAnsi="楷体" w:eastAsia="楷体" w:cs="楷体"/>
          <w:b w:val="0"/>
          <w:bCs/>
          <w:sz w:val="30"/>
          <w:szCs w:val="30"/>
        </w:rPr>
        <w:t>项目内容</w:t>
      </w:r>
      <w:bookmarkEnd w:id="0"/>
    </w:p>
    <w:p>
      <w:pPr>
        <w:rPr>
          <w:rFonts w:hint="eastAsia" w:ascii="楷体" w:hAnsi="楷体" w:eastAsia="楷体" w:cs="楷体"/>
          <w:b w:val="0"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0"/>
          <w:szCs w:val="30"/>
          <w:lang w:val="en-US" w:eastAsia="zh-CN"/>
        </w:rPr>
        <w:t xml:space="preserve">    天津市胸科医院和平院区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智慧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门诊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财务项目</w:t>
      </w:r>
    </w:p>
    <w:p>
      <w:pPr>
        <w:numPr>
          <w:ilvl w:val="0"/>
          <w:numId w:val="1"/>
        </w:numPr>
        <w:spacing w:line="460" w:lineRule="exact"/>
        <w:ind w:left="0" w:leftChars="0" w:firstLine="600" w:firstLineChars="200"/>
        <w:rPr>
          <w:rFonts w:hint="eastAsia" w:ascii="楷体" w:hAnsi="楷体" w:eastAsia="楷体" w:cs="楷体"/>
          <w:b w:val="0"/>
          <w:bCs/>
          <w:sz w:val="30"/>
          <w:szCs w:val="30"/>
        </w:rPr>
      </w:pPr>
      <w:r>
        <w:rPr>
          <w:rFonts w:hint="eastAsia" w:ascii="楷体" w:hAnsi="楷体" w:eastAsia="楷体" w:cs="楷体"/>
          <w:b w:val="0"/>
          <w:bCs/>
          <w:sz w:val="30"/>
          <w:szCs w:val="30"/>
        </w:rPr>
        <w:t>对</w:t>
      </w:r>
      <w:r>
        <w:rPr>
          <w:rFonts w:hint="eastAsia" w:ascii="楷体" w:hAnsi="楷体" w:eastAsia="楷体" w:cs="楷体"/>
          <w:b w:val="0"/>
          <w:bCs/>
          <w:sz w:val="30"/>
          <w:szCs w:val="30"/>
          <w:lang w:eastAsia="zh-CN"/>
        </w:rPr>
        <w:t>供应商</w:t>
      </w:r>
      <w:r>
        <w:rPr>
          <w:rFonts w:hint="eastAsia" w:ascii="楷体" w:hAnsi="楷体" w:eastAsia="楷体" w:cs="楷体"/>
          <w:b w:val="0"/>
          <w:bCs/>
          <w:sz w:val="30"/>
          <w:szCs w:val="30"/>
        </w:rPr>
        <w:t>工作</w:t>
      </w:r>
      <w:r>
        <w:rPr>
          <w:rFonts w:hint="eastAsia" w:ascii="楷体" w:hAnsi="楷体" w:eastAsia="楷体" w:cs="楷体"/>
          <w:b w:val="0"/>
          <w:bCs/>
          <w:sz w:val="30"/>
          <w:szCs w:val="30"/>
          <w:lang w:eastAsia="zh-CN"/>
        </w:rPr>
        <w:t>（技术、服务等）</w:t>
      </w:r>
      <w:r>
        <w:rPr>
          <w:rFonts w:hint="eastAsia" w:ascii="楷体" w:hAnsi="楷体" w:eastAsia="楷体" w:cs="楷体"/>
          <w:b w:val="0"/>
          <w:bCs/>
          <w:sz w:val="30"/>
          <w:szCs w:val="30"/>
        </w:rPr>
        <w:t>要求：</w:t>
      </w:r>
    </w:p>
    <w:p>
      <w:pPr>
        <w:spacing w:line="360" w:lineRule="auto"/>
        <w:ind w:firstLine="600" w:firstLineChars="200"/>
        <w:jc w:val="left"/>
        <w:rPr>
          <w:rFonts w:hint="eastAsia" w:ascii="楷体" w:hAnsi="楷体" w:eastAsia="楷体" w:cs="楷体"/>
          <w:b w:val="0"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0"/>
          <w:szCs w:val="30"/>
          <w:lang w:val="en-US" w:eastAsia="zh-CN"/>
        </w:rPr>
        <w:t>入选银行提供</w:t>
      </w:r>
      <w:bookmarkStart w:id="1" w:name="_Toc453767378"/>
    </w:p>
    <w:p>
      <w:pPr>
        <w:spacing w:line="360" w:lineRule="auto"/>
        <w:ind w:firstLine="900" w:firstLineChars="300"/>
        <w:jc w:val="left"/>
        <w:rPr>
          <w:rFonts w:hint="default" w:ascii="楷体" w:hAnsi="楷体" w:eastAsia="楷体" w:cs="楷体"/>
          <w:b w:val="0"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0"/>
          <w:szCs w:val="30"/>
        </w:rPr>
        <w:t>（一）存款服务</w:t>
      </w:r>
      <w:r>
        <w:rPr>
          <w:rFonts w:hint="eastAsia" w:ascii="楷体" w:hAnsi="楷体" w:eastAsia="楷体" w:cs="楷体"/>
          <w:b w:val="0"/>
          <w:bCs/>
          <w:sz w:val="30"/>
          <w:szCs w:val="30"/>
          <w:lang w:val="en-US" w:eastAsia="zh-CN"/>
        </w:rPr>
        <w:t>：开设对公结算账户或使用现有账户。</w:t>
      </w:r>
    </w:p>
    <w:p>
      <w:pPr>
        <w:spacing w:line="360" w:lineRule="auto"/>
        <w:ind w:left="899" w:leftChars="321" w:firstLine="0" w:firstLineChars="0"/>
        <w:jc w:val="left"/>
        <w:rPr>
          <w:rFonts w:hint="eastAsia" w:ascii="楷体" w:hAnsi="楷体" w:eastAsia="楷体" w:cs="楷体"/>
          <w:b w:val="0"/>
          <w:bCs/>
          <w:sz w:val="30"/>
          <w:szCs w:val="30"/>
          <w:lang w:val="en-US" w:eastAsia="zh-CN"/>
        </w:rPr>
      </w:pPr>
      <w:bookmarkStart w:id="2" w:name="_Toc26192128"/>
      <w:r>
        <w:rPr>
          <w:rFonts w:hint="eastAsia" w:ascii="楷体" w:hAnsi="楷体" w:eastAsia="楷体" w:cs="楷体"/>
          <w:b w:val="0"/>
          <w:bCs/>
          <w:sz w:val="30"/>
          <w:szCs w:val="30"/>
        </w:rPr>
        <w:t>（</w:t>
      </w:r>
      <w:r>
        <w:rPr>
          <w:rFonts w:hint="eastAsia" w:ascii="楷体" w:hAnsi="楷体" w:eastAsia="楷体" w:cs="楷体"/>
          <w:b w:val="0"/>
          <w:bCs/>
          <w:sz w:val="30"/>
          <w:szCs w:val="30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/>
          <w:sz w:val="30"/>
          <w:szCs w:val="30"/>
        </w:rPr>
        <w:t>）系统稳定支持</w:t>
      </w:r>
      <w:bookmarkEnd w:id="2"/>
      <w:r>
        <w:rPr>
          <w:rFonts w:hint="eastAsia" w:ascii="楷体" w:hAnsi="楷体" w:eastAsia="楷体" w:cs="楷体"/>
          <w:b w:val="0"/>
          <w:bCs/>
          <w:sz w:val="30"/>
          <w:szCs w:val="30"/>
          <w:lang w:eastAsia="zh-CN"/>
        </w:rPr>
        <w:t>服务</w:t>
      </w:r>
      <w:r>
        <w:rPr>
          <w:rFonts w:hint="eastAsia" w:ascii="楷体" w:hAnsi="楷体" w:eastAsia="楷体" w:cs="楷体"/>
          <w:b w:val="0"/>
          <w:bCs/>
          <w:sz w:val="30"/>
          <w:szCs w:val="30"/>
          <w:lang w:val="en-US" w:eastAsia="zh-CN"/>
        </w:rPr>
        <w:t>：</w:t>
      </w:r>
      <w:r>
        <w:rPr>
          <w:rFonts w:hint="eastAsia" w:ascii="楷体" w:hAnsi="楷体" w:eastAsia="楷体" w:cs="楷体"/>
          <w:b w:val="0"/>
          <w:bCs/>
          <w:sz w:val="30"/>
          <w:szCs w:val="30"/>
        </w:rPr>
        <w:t>确保应用软件的正常运行，平台的升级提供服务；协助</w:t>
      </w:r>
      <w:r>
        <w:rPr>
          <w:rFonts w:hint="eastAsia" w:ascii="楷体" w:hAnsi="楷体" w:eastAsia="楷体" w:cs="楷体"/>
          <w:b w:val="0"/>
          <w:bCs/>
          <w:sz w:val="30"/>
          <w:szCs w:val="30"/>
          <w:lang w:eastAsia="zh-CN"/>
        </w:rPr>
        <w:t>我院</w:t>
      </w:r>
      <w:r>
        <w:rPr>
          <w:rFonts w:hint="eastAsia" w:ascii="楷体" w:hAnsi="楷体" w:eastAsia="楷体" w:cs="楷体"/>
          <w:b w:val="0"/>
          <w:bCs/>
          <w:sz w:val="30"/>
          <w:szCs w:val="30"/>
        </w:rPr>
        <w:t>建立相关项目和系统软件各种故障的恢复流程及应急措施</w:t>
      </w:r>
    </w:p>
    <w:p>
      <w:pPr>
        <w:ind w:firstLine="900" w:firstLineChars="300"/>
        <w:rPr>
          <w:rFonts w:hint="eastAsia" w:ascii="楷体" w:hAnsi="楷体" w:eastAsia="楷体" w:cs="楷体"/>
          <w:b w:val="0"/>
          <w:bCs/>
          <w:sz w:val="30"/>
          <w:szCs w:val="30"/>
          <w:lang w:eastAsia="zh-CN"/>
        </w:rPr>
      </w:pPr>
      <w:r>
        <w:rPr>
          <w:rFonts w:hint="eastAsia" w:ascii="楷体" w:hAnsi="楷体" w:eastAsia="楷体" w:cs="楷体"/>
          <w:b w:val="0"/>
          <w:bCs/>
          <w:sz w:val="30"/>
          <w:szCs w:val="30"/>
        </w:rPr>
        <w:t>（</w:t>
      </w:r>
      <w:r>
        <w:rPr>
          <w:rFonts w:hint="eastAsia" w:ascii="楷体" w:hAnsi="楷体" w:eastAsia="楷体" w:cs="楷体"/>
          <w:b w:val="0"/>
          <w:bCs/>
          <w:sz w:val="30"/>
          <w:szCs w:val="30"/>
          <w:lang w:val="en-US" w:eastAsia="zh-CN"/>
        </w:rPr>
        <w:t>三</w:t>
      </w:r>
      <w:r>
        <w:rPr>
          <w:rFonts w:hint="eastAsia" w:ascii="楷体" w:hAnsi="楷体" w:eastAsia="楷体" w:cs="楷体"/>
          <w:b w:val="0"/>
          <w:bCs/>
          <w:sz w:val="30"/>
          <w:szCs w:val="30"/>
        </w:rPr>
        <w:t>）硬件设备</w:t>
      </w:r>
      <w:r>
        <w:rPr>
          <w:rFonts w:hint="eastAsia" w:ascii="楷体" w:hAnsi="楷体" w:eastAsia="楷体" w:cs="楷体"/>
          <w:b w:val="0"/>
          <w:bCs/>
          <w:sz w:val="30"/>
          <w:szCs w:val="30"/>
          <w:lang w:eastAsia="zh-CN"/>
        </w:rPr>
        <w:t>定期维护服务</w:t>
      </w:r>
    </w:p>
    <w:p>
      <w:pPr>
        <w:ind w:firstLine="900" w:firstLineChars="300"/>
        <w:rPr>
          <w:rFonts w:hint="default" w:ascii="楷体" w:hAnsi="楷体" w:eastAsia="楷体" w:cs="楷体"/>
          <w:b w:val="0"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0"/>
          <w:szCs w:val="30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30"/>
          <w:szCs w:val="30"/>
          <w:lang w:val="en-US" w:eastAsia="zh-CN"/>
        </w:rPr>
        <w:t>四</w:t>
      </w:r>
      <w:r>
        <w:rPr>
          <w:rFonts w:hint="eastAsia" w:ascii="楷体" w:hAnsi="楷体" w:eastAsia="楷体" w:cs="楷体"/>
          <w:b w:val="0"/>
          <w:bCs/>
          <w:sz w:val="30"/>
          <w:szCs w:val="30"/>
          <w:lang w:eastAsia="zh-CN"/>
        </w:rPr>
        <w:t>）其他相关业务服务</w:t>
      </w:r>
    </w:p>
    <w:p>
      <w:pPr>
        <w:pStyle w:val="3"/>
        <w:numPr>
          <w:ilvl w:val="0"/>
          <w:numId w:val="1"/>
        </w:numPr>
        <w:spacing w:line="460" w:lineRule="exact"/>
        <w:ind w:left="0" w:leftChars="0" w:firstLine="600" w:firstLineChars="200"/>
        <w:rPr>
          <w:rFonts w:hint="eastAsia" w:ascii="楷体" w:hAnsi="楷体" w:eastAsia="楷体" w:cs="楷体"/>
          <w:b w:val="0"/>
          <w:bCs/>
          <w:sz w:val="30"/>
          <w:szCs w:val="30"/>
        </w:rPr>
      </w:pPr>
      <w:r>
        <w:rPr>
          <w:rFonts w:hint="eastAsia" w:ascii="楷体" w:hAnsi="楷体" w:eastAsia="楷体" w:cs="楷体"/>
          <w:b w:val="0"/>
          <w:bCs/>
          <w:sz w:val="30"/>
          <w:szCs w:val="30"/>
        </w:rPr>
        <w:t>时间要求</w:t>
      </w:r>
      <w:bookmarkEnd w:id="1"/>
      <w:r>
        <w:rPr>
          <w:rFonts w:hint="eastAsia" w:ascii="楷体" w:hAnsi="楷体" w:eastAsia="楷体" w:cs="楷体"/>
          <w:b w:val="0"/>
          <w:bCs/>
          <w:sz w:val="30"/>
          <w:szCs w:val="30"/>
          <w:lang w:eastAsia="zh-CN"/>
        </w:rPr>
        <w:t>：</w:t>
      </w:r>
      <w:bookmarkStart w:id="3" w:name="_Toc453767379"/>
      <w:r>
        <w:rPr>
          <w:rFonts w:hint="eastAsia" w:ascii="楷体" w:hAnsi="楷体" w:eastAsia="楷体" w:cs="楷体"/>
          <w:b w:val="0"/>
          <w:bCs/>
          <w:sz w:val="30"/>
          <w:szCs w:val="30"/>
          <w:lang w:val="en-US" w:eastAsia="zh-CN"/>
        </w:rPr>
        <w:t>接受报名时间截止至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2023年4月21日16:00。</w:t>
      </w:r>
    </w:p>
    <w:p>
      <w:pPr>
        <w:pStyle w:val="3"/>
        <w:numPr>
          <w:ilvl w:val="0"/>
          <w:numId w:val="0"/>
        </w:numPr>
        <w:spacing w:line="460" w:lineRule="exact"/>
        <w:ind w:firstLine="600" w:firstLineChars="200"/>
        <w:rPr>
          <w:rFonts w:hint="eastAsia" w:ascii="楷体" w:hAnsi="楷体" w:eastAsia="楷体" w:cs="楷体"/>
          <w:b w:val="0"/>
          <w:bCs/>
          <w:sz w:val="30"/>
          <w:szCs w:val="30"/>
        </w:rPr>
      </w:pPr>
      <w:r>
        <w:rPr>
          <w:rFonts w:hint="eastAsia" w:ascii="楷体" w:hAnsi="楷体" w:eastAsia="楷体" w:cs="楷体"/>
          <w:b w:val="0"/>
          <w:bCs/>
          <w:sz w:val="30"/>
          <w:szCs w:val="30"/>
          <w:lang w:eastAsia="zh-CN"/>
        </w:rPr>
        <w:t>四、</w:t>
      </w:r>
      <w:r>
        <w:rPr>
          <w:rFonts w:hint="eastAsia" w:ascii="楷体" w:hAnsi="楷体" w:eastAsia="楷体" w:cs="楷体"/>
          <w:b w:val="0"/>
          <w:bCs/>
          <w:sz w:val="30"/>
          <w:szCs w:val="30"/>
        </w:rPr>
        <w:t>比选人资格要求</w:t>
      </w:r>
      <w:bookmarkEnd w:id="3"/>
    </w:p>
    <w:p>
      <w:pPr>
        <w:spacing w:line="460" w:lineRule="exact"/>
        <w:ind w:firstLine="600" w:firstLineChars="200"/>
        <w:rPr>
          <w:rFonts w:hint="eastAsia" w:ascii="楷体" w:hAnsi="楷体" w:eastAsia="楷体" w:cs="楷体"/>
          <w:b w:val="0"/>
          <w:bCs/>
          <w:color w:val="auto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0"/>
          <w:szCs w:val="30"/>
          <w:lang w:val="en-US" w:eastAsia="zh-CN"/>
        </w:rPr>
        <w:t>4.1资质条件：国有制银行或全国股份制商业银行天津分行</w:t>
      </w:r>
    </w:p>
    <w:p>
      <w:pPr>
        <w:spacing w:line="460" w:lineRule="exact"/>
        <w:ind w:firstLine="600" w:firstLineChars="200"/>
        <w:rPr>
          <w:rFonts w:hint="eastAsia" w:ascii="楷体" w:hAnsi="楷体" w:eastAsia="楷体" w:cs="楷体"/>
          <w:b w:val="0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0"/>
          <w:szCs w:val="30"/>
          <w:lang w:val="en-US" w:eastAsia="zh-CN"/>
        </w:rPr>
        <w:t>4.2 单</w:t>
      </w:r>
      <w:r>
        <w:rPr>
          <w:rFonts w:hint="eastAsia" w:ascii="楷体" w:hAnsi="楷体" w:eastAsia="楷体" w:cs="楷体"/>
          <w:b w:val="0"/>
          <w:bCs/>
          <w:sz w:val="30"/>
          <w:szCs w:val="30"/>
          <w:highlight w:val="none"/>
          <w:lang w:val="en-US" w:eastAsia="zh-CN"/>
        </w:rPr>
        <w:t>位业绩要求：具有大型企事业单位财务合作服务经历者，与大型三甲医院有相关合作经验的银行优先。</w:t>
      </w:r>
    </w:p>
    <w:p>
      <w:pPr>
        <w:spacing w:line="460" w:lineRule="exact"/>
        <w:ind w:firstLine="600" w:firstLineChars="200"/>
        <w:rPr>
          <w:rFonts w:hint="eastAsia" w:ascii="楷体" w:hAnsi="楷体" w:eastAsia="楷体" w:cs="楷体"/>
          <w:b w:val="0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0"/>
          <w:szCs w:val="30"/>
          <w:highlight w:val="none"/>
          <w:lang w:val="en-US" w:eastAsia="zh-CN"/>
        </w:rPr>
        <w:t>4.3人员要求:入选单位指派专人负责院内相关工作，提供相关工作人员证件及资质证明，并与院内相关科室联系做好服务。</w:t>
      </w:r>
    </w:p>
    <w:p>
      <w:pPr>
        <w:rPr>
          <w:b w:val="0"/>
          <w:bCs/>
        </w:rPr>
      </w:pPr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F65EAA"/>
    <w:multiLevelType w:val="singleLevel"/>
    <w:tmpl w:val="B0F65E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NDE0N2NlMGRmN2QzM2Q0YTJkOTBiNGY5ZjcyMTcifQ=="/>
  </w:docVars>
  <w:rsids>
    <w:rsidRoot w:val="00000000"/>
    <w:rsid w:val="03C17591"/>
    <w:rsid w:val="08A00A55"/>
    <w:rsid w:val="217C11EF"/>
    <w:rsid w:val="476E4DE2"/>
    <w:rsid w:val="5014010E"/>
    <w:rsid w:val="50A11BDE"/>
    <w:rsid w:val="5F1530C9"/>
    <w:rsid w:val="63BC22A1"/>
    <w:rsid w:val="7B34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3360"/>
      </w:tabs>
      <w:snapToGrid w:val="0"/>
      <w:spacing w:beforeLines="100" w:afterLines="50" w:line="800" w:lineRule="atLeast"/>
      <w:jc w:val="center"/>
      <w:outlineLvl w:val="0"/>
    </w:pPr>
    <w:rPr>
      <w:rFonts w:eastAsia="黑体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351</Characters>
  <Lines>0</Lines>
  <Paragraphs>0</Paragraphs>
  <TotalTime>0</TotalTime>
  <ScaleCrop>false</ScaleCrop>
  <LinksUpToDate>false</LinksUpToDate>
  <CharactersWithSpaces>356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2023-03-20T06:56:00Z</dcterms:created>
  <dc:creator>dell</dc:creator>
  <cp:lastModifiedBy>直到世界终结1414898179</cp:lastModifiedBy>
  <dcterms:modified xsi:type="dcterms:W3CDTF">2023-04-10T00:32:56Z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6C77200F96F74AF49347F9CD944CF220</vt:lpwstr>
  </property>
</Properties>
</file>