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after="156" w:line="240" w:lineRule="auto"/>
        <w:jc w:val="both"/>
        <w:textAlignment w:val="auto"/>
        <w:rPr>
          <w:rFonts w:hint="eastAsia" w:ascii="楷体" w:hAnsi="楷体" w:eastAsia="楷体" w:cs="楷体"/>
          <w:b/>
          <w:sz w:val="32"/>
          <w:szCs w:val="32"/>
        </w:rPr>
      </w:pPr>
      <w:r>
        <w:rPr>
          <w:rFonts w:hint="eastAsia" w:ascii="仿宋_GB2312" w:hAnsi="仿宋" w:eastAsia="仿宋_GB2312"/>
          <w:sz w:val="24"/>
          <w:szCs w:val="24"/>
          <w:lang w:eastAsia="zh-CN"/>
        </w:rPr>
        <w:t>附件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仿宋" w:eastAsia="仿宋_GB2312"/>
          <w:sz w:val="24"/>
          <w:szCs w:val="24"/>
        </w:rPr>
        <w:tab/>
      </w:r>
      <w:bookmarkStart w:id="0" w:name="_Toc453767376"/>
      <w:r>
        <w:rPr>
          <w:rFonts w:hint="eastAsia" w:ascii="楷体" w:hAnsi="楷体" w:eastAsia="楷体" w:cs="楷体"/>
          <w:b/>
          <w:sz w:val="32"/>
          <w:szCs w:val="32"/>
        </w:rPr>
        <w:t xml:space="preserve"> </w:t>
      </w:r>
    </w:p>
    <w:p>
      <w:pPr>
        <w:pStyle w:val="2"/>
        <w:spacing w:before="312" w:after="156" w:line="500" w:lineRule="exact"/>
        <w:jc w:val="center"/>
        <w:rPr>
          <w:rFonts w:ascii="楷体" w:hAnsi="楷体" w:eastAsia="楷体" w:cs="楷体"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sz w:val="32"/>
          <w:szCs w:val="32"/>
        </w:rPr>
        <w:t>比选邀请书</w:t>
      </w:r>
      <w:bookmarkEnd w:id="0"/>
    </w:p>
    <w:p>
      <w:pPr>
        <w:pStyle w:val="3"/>
        <w:numPr>
          <w:ilvl w:val="0"/>
          <w:numId w:val="1"/>
        </w:numPr>
        <w:ind w:firstLine="482" w:firstLineChars="200"/>
      </w:pPr>
      <w:bookmarkStart w:id="1" w:name="_Toc453767377"/>
      <w:r>
        <w:rPr>
          <w:rFonts w:hint="eastAsia" w:ascii="仿宋_GB2312" w:hAnsi="仿宋" w:eastAsia="仿宋_GB2312"/>
          <w:b/>
          <w:sz w:val="24"/>
          <w:szCs w:val="24"/>
        </w:rPr>
        <w:t>比选项目内容</w:t>
      </w:r>
      <w:bookmarkEnd w:id="1"/>
      <w:r>
        <w:rPr>
          <w:rFonts w:hint="eastAsia" w:ascii="仿宋_GB2312" w:hAnsi="仿宋" w:eastAsia="仿宋_GB2312"/>
          <w:b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952" w:leftChars="340" w:firstLine="0" w:firstLineChars="0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20-2021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心血管病</w:t>
      </w:r>
      <w:r>
        <w:rPr>
          <w:rFonts w:hint="eastAsia" w:ascii="仿宋_GB2312" w:hAnsi="仿宋" w:eastAsia="仿宋_GB2312"/>
          <w:sz w:val="24"/>
          <w:szCs w:val="24"/>
        </w:rPr>
        <w:t>高危人群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早期</w:t>
      </w:r>
      <w:r>
        <w:rPr>
          <w:rFonts w:hint="eastAsia" w:ascii="仿宋_GB2312" w:hAnsi="仿宋" w:eastAsia="仿宋_GB2312"/>
          <w:sz w:val="24"/>
          <w:szCs w:val="24"/>
        </w:rPr>
        <w:t>筛查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与综合干预</w:t>
      </w:r>
      <w:r>
        <w:rPr>
          <w:rFonts w:hint="eastAsia" w:ascii="仿宋_GB2312" w:hAnsi="仿宋" w:eastAsia="仿宋_GB2312"/>
          <w:sz w:val="24"/>
          <w:szCs w:val="24"/>
        </w:rPr>
        <w:t>项目启动与培训会</w:t>
      </w:r>
      <w:r>
        <w:rPr>
          <w:rFonts w:hint="eastAsia" w:ascii="仿宋_GB2312" w:hAnsi="仿宋_GB2312" w:eastAsia="仿宋_GB2312" w:cs="仿宋_GB2312"/>
          <w:color w:val="0D0D0D" w:themeColor="text1" w:themeTint="F2"/>
          <w:sz w:val="24"/>
          <w:szCs w:val="24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所需宣传资料印刷项目：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1. 培训效果反馈表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2. 筛查总流程图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技术方案手册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4.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筛查现场操作手册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5.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质量控制方案手册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6.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干预指导手册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7.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超声操作手册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 xml:space="preserve">8. 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心电图操作手册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960" w:firstLineChars="4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. 健康宣传手册</w:t>
      </w:r>
    </w:p>
    <w:p>
      <w:pPr>
        <w:numPr>
          <w:ilvl w:val="0"/>
          <w:numId w:val="1"/>
        </w:numPr>
        <w:spacing w:line="360" w:lineRule="auto"/>
        <w:ind w:firstLine="482" w:firstLineChars="200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对供应商工作（技术、服务等）要求：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bookmarkStart w:id="2" w:name="_Toc453767378"/>
      <w:r>
        <w:rPr>
          <w:rFonts w:hint="eastAsia" w:ascii="仿宋_GB2312" w:hAnsi="仿宋" w:eastAsia="仿宋_GB2312"/>
          <w:sz w:val="24"/>
          <w:szCs w:val="24"/>
        </w:rPr>
        <w:t>印刷标准及要求：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1.印刷标准：依据国家印刷标准印刷。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2.设计制作印刷相关要求（包括数量、材质、画面、规格、格式等）见附件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3</w:t>
      </w:r>
      <w:bookmarkStart w:id="4" w:name="_GoBack"/>
      <w:bookmarkEnd w:id="4"/>
      <w:r>
        <w:rPr>
          <w:rFonts w:hint="eastAsia" w:ascii="仿宋_GB2312" w:hAnsi="仿宋" w:eastAsia="仿宋_GB2312"/>
          <w:sz w:val="24"/>
          <w:szCs w:val="24"/>
        </w:rPr>
        <w:t>。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3.在制作完文件后请印刷单位仔细打样校对，要求内容完整，无错字、漏字，字体、图片清晰，分辨率高；排版正确，页数符合规定标准等。一旦出现模糊、虚版、堆墨、脱墨、重影、透印、变形、错印、漏印等印刷问题，由乙方全权负责。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4.所有印刷资料必须保证达到附件规定数量，如出现印刷数量缺少问题按照“缺一补十”原则，乙方必须按时按量补齐。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5.知识产权归属及资料保密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（1）本项目所提供印刷资料的版权及相关知识产权归甲方所有，未经甲方同意，乙方不得复制、不可提供给任何第三方使用。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（2）本项目中提供的全部设计资料属甲方所有，乙方有责对此予以保密，非经甲方同意，不得擅自作为合作项目以外之目的使用，且不得向任何第三方提供涉及本项目设计、制作等方面的信息。本条规定的保密有效期不仅限于合同生效期间，合同期满或中止后仍继续有效。</w:t>
      </w:r>
    </w:p>
    <w:p>
      <w:pPr>
        <w:ind w:left="952" w:leftChars="340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（3）乙方违反上述任何一项内容，由此产生的一切不利后果均由乙方承担，造成甲方损失的，乙方应全部予以赔偿。</w:t>
      </w:r>
    </w:p>
    <w:p>
      <w:pPr>
        <w:pStyle w:val="3"/>
        <w:numPr>
          <w:ilvl w:val="0"/>
          <w:numId w:val="1"/>
        </w:numPr>
        <w:spacing w:line="460" w:lineRule="exact"/>
        <w:ind w:firstLine="482" w:firstLineChars="200"/>
        <w:rPr>
          <w:rFonts w:ascii="仿宋_GB2312" w:hAnsi="仿宋" w:eastAsia="仿宋_GB2312"/>
          <w:b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时间要求</w:t>
      </w:r>
      <w:bookmarkEnd w:id="2"/>
      <w:r>
        <w:rPr>
          <w:rFonts w:hint="eastAsia" w:ascii="仿宋_GB2312" w:hAnsi="仿宋" w:eastAsia="仿宋_GB2312"/>
          <w:b/>
          <w:sz w:val="24"/>
          <w:szCs w:val="24"/>
        </w:rPr>
        <w:t>：</w:t>
      </w:r>
    </w:p>
    <w:p>
      <w:pPr>
        <w:ind w:left="964" w:hanging="964" w:hangingChars="400"/>
        <w:rPr>
          <w:rFonts w:eastAsia="仿宋_GB2312"/>
        </w:rPr>
      </w:pPr>
      <w:r>
        <w:rPr>
          <w:rFonts w:hint="eastAsia" w:ascii="仿宋_GB2312" w:hAnsi="仿宋" w:eastAsia="仿宋_GB2312"/>
          <w:b/>
          <w:sz w:val="24"/>
          <w:szCs w:val="24"/>
        </w:rPr>
        <w:t xml:space="preserve">           </w:t>
      </w:r>
      <w:r>
        <w:rPr>
          <w:rFonts w:hint="eastAsia" w:ascii="仿宋_GB2312" w:hAnsi="仿宋" w:eastAsia="仿宋_GB2312"/>
          <w:b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2020-2021</w:t>
      </w:r>
      <w:r>
        <w:rPr>
          <w:rFonts w:hint="eastAsia" w:ascii="仿宋_GB2312" w:hAnsi="仿宋" w:eastAsia="仿宋_GB2312"/>
          <w:sz w:val="24"/>
          <w:szCs w:val="24"/>
        </w:rPr>
        <w:t>年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度</w:t>
      </w:r>
      <w:r>
        <w:rPr>
          <w:rFonts w:hint="eastAsia" w:ascii="仿宋_GB2312" w:hAnsi="仿宋" w:eastAsia="仿宋_GB2312"/>
          <w:sz w:val="24"/>
          <w:szCs w:val="24"/>
        </w:rPr>
        <w:t>心血管病高危人群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早期</w:t>
      </w:r>
      <w:r>
        <w:rPr>
          <w:rFonts w:hint="eastAsia" w:ascii="仿宋_GB2312" w:hAnsi="仿宋" w:eastAsia="仿宋_GB2312"/>
          <w:sz w:val="24"/>
          <w:szCs w:val="24"/>
        </w:rPr>
        <w:t>筛查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与综合干预</w:t>
      </w:r>
      <w:r>
        <w:rPr>
          <w:rFonts w:hint="eastAsia" w:ascii="仿宋_GB2312" w:hAnsi="仿宋" w:eastAsia="仿宋_GB2312"/>
          <w:sz w:val="24"/>
          <w:szCs w:val="24"/>
        </w:rPr>
        <w:t xml:space="preserve">项目启动与培训会所需宣传资料印刷项目在我方给予对方样稿后15天内完成。  </w:t>
      </w:r>
    </w:p>
    <w:p>
      <w:pPr>
        <w:pStyle w:val="3"/>
        <w:spacing w:line="460" w:lineRule="exact"/>
        <w:ind w:left="420"/>
        <w:rPr>
          <w:rFonts w:ascii="仿宋_GB2312" w:hAnsi="仿宋" w:eastAsia="仿宋_GB2312"/>
          <w:b/>
          <w:sz w:val="24"/>
          <w:szCs w:val="24"/>
        </w:rPr>
      </w:pPr>
      <w:bookmarkStart w:id="3" w:name="_Toc453767379"/>
      <w:r>
        <w:rPr>
          <w:rFonts w:hint="eastAsia" w:ascii="仿宋_GB2312" w:hAnsi="仿宋" w:eastAsia="仿宋_GB2312"/>
          <w:b/>
          <w:sz w:val="24"/>
          <w:szCs w:val="24"/>
        </w:rPr>
        <w:t>四、比选人资格要求</w:t>
      </w:r>
      <w:bookmarkEnd w:id="3"/>
      <w:r>
        <w:rPr>
          <w:rFonts w:hint="eastAsia" w:ascii="仿宋_GB2312" w:hAnsi="仿宋" w:eastAsia="仿宋_GB2312"/>
          <w:b/>
          <w:sz w:val="24"/>
          <w:szCs w:val="24"/>
        </w:rPr>
        <w:t>：</w:t>
      </w:r>
    </w:p>
    <w:p>
      <w:pPr>
        <w:spacing w:line="460" w:lineRule="exact"/>
        <w:ind w:left="952" w:leftChars="34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1.资质条件：具有经天津市注册在案的从事印刷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类</w:t>
      </w:r>
      <w:r>
        <w:rPr>
          <w:rFonts w:hint="eastAsia" w:ascii="仿宋_GB2312" w:hAnsi="仿宋" w:eastAsia="仿宋_GB2312"/>
          <w:sz w:val="24"/>
          <w:szCs w:val="24"/>
        </w:rPr>
        <w:t>资质证书，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且</w:t>
      </w:r>
      <w:r>
        <w:rPr>
          <w:rFonts w:hint="eastAsia" w:ascii="仿宋_GB2312" w:hAnsi="仿宋" w:eastAsia="仿宋_GB2312"/>
          <w:sz w:val="24"/>
          <w:szCs w:val="24"/>
        </w:rPr>
        <w:t>已换印刷经营许可证的资质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条件</w:t>
      </w:r>
      <w:r>
        <w:rPr>
          <w:rFonts w:hint="eastAsia" w:ascii="仿宋_GB2312" w:hAnsi="仿宋" w:eastAsia="仿宋_GB2312"/>
          <w:sz w:val="24"/>
          <w:szCs w:val="24"/>
        </w:rPr>
        <w:t>。</w:t>
      </w:r>
    </w:p>
    <w:p>
      <w:pPr>
        <w:spacing w:line="460" w:lineRule="exact"/>
        <w:ind w:left="952" w:leftChars="340"/>
        <w:rPr>
          <w:rFonts w:hint="eastAsia" w:ascii="仿宋_GB2312" w:hAnsi="仿宋" w:eastAsia="仿宋_GB2312"/>
          <w:sz w:val="24"/>
          <w:szCs w:val="24"/>
          <w:lang w:eastAsia="zh-CN"/>
        </w:rPr>
      </w:pPr>
      <w:r>
        <w:rPr>
          <w:rFonts w:hint="eastAsia" w:ascii="仿宋_GB2312" w:hAnsi="仿宋" w:eastAsia="仿宋_GB2312"/>
          <w:sz w:val="24"/>
          <w:szCs w:val="24"/>
        </w:rPr>
        <w:t>2.单位业绩要求：具有近三年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做过</w:t>
      </w:r>
      <w:r>
        <w:rPr>
          <w:rFonts w:hint="eastAsia" w:ascii="仿宋_GB2312" w:hAnsi="仿宋" w:eastAsia="仿宋_GB2312"/>
          <w:sz w:val="24"/>
          <w:szCs w:val="24"/>
        </w:rPr>
        <w:t>类似印刷工作的业绩</w:t>
      </w:r>
      <w:r>
        <w:rPr>
          <w:rFonts w:hint="eastAsia" w:ascii="仿宋_GB2312" w:hAnsi="仿宋" w:eastAsia="仿宋_GB2312"/>
          <w:sz w:val="24"/>
          <w:szCs w:val="24"/>
          <w:lang w:eastAsia="zh-CN"/>
        </w:rPr>
        <w:t>。</w:t>
      </w: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sz w:val="24"/>
          <w:szCs w:val="24"/>
        </w:rPr>
        <w:t>3.人员要求:从事印刷行业的专业人员。</w:t>
      </w: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p/>
    <w:p/>
    <w:p/>
    <w:p>
      <w:pPr>
        <w:spacing w:line="460" w:lineRule="exact"/>
        <w:ind w:firstLine="960" w:firstLineChars="400"/>
        <w:rPr>
          <w:rFonts w:hint="eastAsia" w:ascii="仿宋_GB2312" w:hAnsi="仿宋" w:eastAsia="仿宋_GB2312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0F65EAA"/>
    <w:multiLevelType w:val="singleLevel"/>
    <w:tmpl w:val="B0F65EAA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B2025"/>
    <w:rsid w:val="000B3C1D"/>
    <w:rsid w:val="000E25C0"/>
    <w:rsid w:val="0015321E"/>
    <w:rsid w:val="00153A7B"/>
    <w:rsid w:val="00233872"/>
    <w:rsid w:val="00240629"/>
    <w:rsid w:val="002F2F03"/>
    <w:rsid w:val="00324E6D"/>
    <w:rsid w:val="003272C5"/>
    <w:rsid w:val="003D22BE"/>
    <w:rsid w:val="0041295A"/>
    <w:rsid w:val="0043141F"/>
    <w:rsid w:val="0050290A"/>
    <w:rsid w:val="00542E90"/>
    <w:rsid w:val="00546118"/>
    <w:rsid w:val="005548B7"/>
    <w:rsid w:val="00657F68"/>
    <w:rsid w:val="00666667"/>
    <w:rsid w:val="00690661"/>
    <w:rsid w:val="006975A9"/>
    <w:rsid w:val="007173CE"/>
    <w:rsid w:val="007447F0"/>
    <w:rsid w:val="007670F1"/>
    <w:rsid w:val="00787A0E"/>
    <w:rsid w:val="007D585D"/>
    <w:rsid w:val="007D67C4"/>
    <w:rsid w:val="007E535E"/>
    <w:rsid w:val="00890B4C"/>
    <w:rsid w:val="008B65AC"/>
    <w:rsid w:val="008F476A"/>
    <w:rsid w:val="00925F65"/>
    <w:rsid w:val="00926CCD"/>
    <w:rsid w:val="009378B5"/>
    <w:rsid w:val="00987BE1"/>
    <w:rsid w:val="00A0001E"/>
    <w:rsid w:val="00A04C90"/>
    <w:rsid w:val="00AA0419"/>
    <w:rsid w:val="00AC5823"/>
    <w:rsid w:val="00B4215E"/>
    <w:rsid w:val="00BB2BE2"/>
    <w:rsid w:val="00C315C8"/>
    <w:rsid w:val="00C410C1"/>
    <w:rsid w:val="00C51AC7"/>
    <w:rsid w:val="00C524FE"/>
    <w:rsid w:val="00C97BD6"/>
    <w:rsid w:val="00CB27B8"/>
    <w:rsid w:val="00D41FFC"/>
    <w:rsid w:val="00D723BA"/>
    <w:rsid w:val="00D93A27"/>
    <w:rsid w:val="00F25590"/>
    <w:rsid w:val="00F81238"/>
    <w:rsid w:val="00FB7D45"/>
    <w:rsid w:val="01315383"/>
    <w:rsid w:val="03A72D0D"/>
    <w:rsid w:val="074130A5"/>
    <w:rsid w:val="0B6D7BB5"/>
    <w:rsid w:val="0F0805C3"/>
    <w:rsid w:val="0FE7729B"/>
    <w:rsid w:val="10FE5D59"/>
    <w:rsid w:val="11A71496"/>
    <w:rsid w:val="14FE7898"/>
    <w:rsid w:val="150E6F25"/>
    <w:rsid w:val="154D70EA"/>
    <w:rsid w:val="169F4F4D"/>
    <w:rsid w:val="17E33FC4"/>
    <w:rsid w:val="185D3653"/>
    <w:rsid w:val="198B076F"/>
    <w:rsid w:val="20D93A87"/>
    <w:rsid w:val="2222599E"/>
    <w:rsid w:val="2392186E"/>
    <w:rsid w:val="260A76AF"/>
    <w:rsid w:val="294D0371"/>
    <w:rsid w:val="2A0B39FC"/>
    <w:rsid w:val="2AEF6C96"/>
    <w:rsid w:val="2B4C439A"/>
    <w:rsid w:val="2B6D1C6A"/>
    <w:rsid w:val="2CBA1396"/>
    <w:rsid w:val="2CCE3CD3"/>
    <w:rsid w:val="2EC5097C"/>
    <w:rsid w:val="31727F99"/>
    <w:rsid w:val="34BF7CA2"/>
    <w:rsid w:val="37970EBB"/>
    <w:rsid w:val="38A410A5"/>
    <w:rsid w:val="399323EA"/>
    <w:rsid w:val="39A261C7"/>
    <w:rsid w:val="3CB65828"/>
    <w:rsid w:val="40BE404D"/>
    <w:rsid w:val="41B65B58"/>
    <w:rsid w:val="41BB6CD7"/>
    <w:rsid w:val="42FB3BE7"/>
    <w:rsid w:val="434F79A6"/>
    <w:rsid w:val="4402311F"/>
    <w:rsid w:val="46042F48"/>
    <w:rsid w:val="480B3ACC"/>
    <w:rsid w:val="49013A2F"/>
    <w:rsid w:val="4D7F609B"/>
    <w:rsid w:val="4DCE2136"/>
    <w:rsid w:val="50F23AE6"/>
    <w:rsid w:val="52B728A8"/>
    <w:rsid w:val="52DE3F3D"/>
    <w:rsid w:val="53DE6B43"/>
    <w:rsid w:val="54F5355B"/>
    <w:rsid w:val="563356A4"/>
    <w:rsid w:val="58DD1B87"/>
    <w:rsid w:val="59027126"/>
    <w:rsid w:val="59DB2025"/>
    <w:rsid w:val="5E176D15"/>
    <w:rsid w:val="5EAF3EF7"/>
    <w:rsid w:val="5EF811CA"/>
    <w:rsid w:val="5F9D0445"/>
    <w:rsid w:val="608759DB"/>
    <w:rsid w:val="638A6566"/>
    <w:rsid w:val="64143838"/>
    <w:rsid w:val="668A519B"/>
    <w:rsid w:val="686F3471"/>
    <w:rsid w:val="693C4DA8"/>
    <w:rsid w:val="69984F22"/>
    <w:rsid w:val="6A4116C4"/>
    <w:rsid w:val="6C0427DF"/>
    <w:rsid w:val="6C7E3BC1"/>
    <w:rsid w:val="6DCB69B5"/>
    <w:rsid w:val="6FAF722B"/>
    <w:rsid w:val="6FEB11A5"/>
    <w:rsid w:val="707C519A"/>
    <w:rsid w:val="756110EB"/>
    <w:rsid w:val="75DD1904"/>
    <w:rsid w:val="76E063F1"/>
    <w:rsid w:val="783A5BED"/>
    <w:rsid w:val="7A3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3360"/>
      </w:tabs>
      <w:snapToGrid w:val="0"/>
      <w:spacing w:beforeLines="100" w:afterLines="50" w:line="800" w:lineRule="atLeast"/>
      <w:jc w:val="center"/>
      <w:outlineLvl w:val="0"/>
    </w:pPr>
    <w:rPr>
      <w:rFonts w:eastAsia="黑体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line="360" w:lineRule="auto"/>
      <w:outlineLvl w:val="1"/>
    </w:pPr>
    <w:rPr>
      <w:rFonts w:ascii="宋体" w:hAnsi="宋体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1"/>
    <w:qFormat/>
    <w:uiPriority w:val="0"/>
    <w:rPr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/>
      <w:kern w:val="0"/>
      <w:sz w:val="24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日期 Char"/>
    <w:basedOn w:val="9"/>
    <w:link w:val="4"/>
    <w:qFormat/>
    <w:uiPriority w:val="0"/>
    <w:rPr>
      <w:kern w:val="2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95</Words>
  <Characters>545</Characters>
  <Lines>4</Lines>
  <Paragraphs>1</Paragraphs>
  <TotalTime>0</TotalTime>
  <ScaleCrop>false</ScaleCrop>
  <LinksUpToDate>false</LinksUpToDate>
  <CharactersWithSpaces>639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2019-03-28T07:36:00Z</dcterms:created>
  <dc:creator>伊.韵 </dc:creator>
  <cp:lastModifiedBy>李坤萌</cp:lastModifiedBy>
  <dcterms:modified xsi:type="dcterms:W3CDTF">2020-11-23T00:13:10Z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